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31444A" w:rsidRPr="0031444A">
        <w:rPr>
          <w:b/>
          <w:sz w:val="32"/>
          <w:szCs w:val="32"/>
          <w:u w:val="single"/>
        </w:rPr>
        <w:t xml:space="preserve"> </w:t>
      </w:r>
      <w:r w:rsidR="0031444A">
        <w:rPr>
          <w:b/>
          <w:sz w:val="32"/>
          <w:szCs w:val="32"/>
          <w:u w:val="single"/>
        </w:rPr>
        <w:t>палатная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A43B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9A43B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9A43B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FB1F29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97966</wp:posOffset>
            </wp:positionH>
            <wp:positionV relativeFrom="paragraph">
              <wp:posOffset>22742</wp:posOffset>
            </wp:positionV>
            <wp:extent cx="1137945" cy="1360967"/>
            <wp:effectExtent l="19050" t="19050" r="24105" b="10633"/>
            <wp:wrapNone/>
            <wp:docPr id="1" name="Рисунок 1" descr="C:\Users\User\Desktop\Андреева Е.А. К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ндреева Е.А. КО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19" cy="136093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1C4815">
        <w:rPr>
          <w:u w:val="single"/>
        </w:rPr>
        <w:t>Андреева Евгения Анатольевна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1C4815">
        <w:rPr>
          <w:u w:val="single"/>
        </w:rPr>
        <w:t>медицинская сестра палатная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1C4815">
        <w:rPr>
          <w:u w:val="single"/>
        </w:rPr>
        <w:t>хирургическое торакальное</w:t>
      </w:r>
      <w:r>
        <w:rPr>
          <w:u w:val="single"/>
        </w:rPr>
        <w:tab/>
      </w:r>
    </w:p>
    <w:p w:rsidR="00023929" w:rsidRDefault="00385FDB" w:rsidP="001C4815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1C4815">
        <w:rPr>
          <w:u w:val="single"/>
        </w:rPr>
        <w:t xml:space="preserve"> бюджетное учреждение здравоохранения Омской области «Клинический онкологический диспансер»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1C4815">
        <w:rPr>
          <w:u w:val="single"/>
        </w:rPr>
        <w:t>№ 15833 от 28.04.2006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665E66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 xml:space="preserve">Профессиональный рост за </w:t>
            </w:r>
            <w:proofErr w:type="gramStart"/>
            <w:r w:rsidRPr="003129FA">
              <w:rPr>
                <w:b/>
                <w:i/>
              </w:rPr>
              <w:t>последние</w:t>
            </w:r>
            <w:proofErr w:type="gramEnd"/>
            <w:r w:rsidRPr="003129FA">
              <w:rPr>
                <w:b/>
                <w:i/>
              </w:rPr>
              <w:t xml:space="preserve">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B155E7" w:rsidRDefault="00B155E7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B155E7">
              <w:rPr>
                <w:b/>
                <w:i/>
              </w:rPr>
              <w:t>94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Pr="00B7312F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EC2EF6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C2EF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C2EF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65E66" w:rsidRDefault="00665E6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635F9">
              <w:rPr>
                <w:b/>
                <w:sz w:val="22"/>
                <w:szCs w:val="22"/>
              </w:rPr>
              <w:t>/</w:t>
            </w:r>
            <w:proofErr w:type="spellStart"/>
            <w:r w:rsidRPr="003635F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10767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07678" w:rsidRDefault="00107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107678" w:rsidRDefault="00107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107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10767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10767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9921"/>
        </w:tabs>
      </w:pPr>
      <w:r>
        <w:t xml:space="preserve">Члены </w:t>
      </w:r>
      <w:r w:rsidR="00CD3F37">
        <w:t>экспертной комиссии</w:t>
      </w:r>
      <w:r>
        <w:t xml:space="preserve">: </w:t>
      </w:r>
    </w:p>
    <w:p w:rsidR="00D34482" w:rsidRDefault="00D34482" w:rsidP="00D34482">
      <w:pPr>
        <w:tabs>
          <w:tab w:val="left" w:pos="9921"/>
        </w:tabs>
      </w:pPr>
    </w:p>
    <w:p w:rsidR="00D34482" w:rsidRPr="00BF4817" w:rsidRDefault="00D34482" w:rsidP="00D34482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Т.А. Зорина                           </w:t>
      </w:r>
      <w:r>
        <w:rPr>
          <w:u w:val="single"/>
        </w:rPr>
        <w:tab/>
      </w:r>
      <w:r>
        <w:t xml:space="preserve">       </w:t>
      </w:r>
      <w:r w:rsidR="0093199C">
        <w:t>О.А. Бучко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  <w:rPr>
          <w:sz w:val="44"/>
          <w:szCs w:val="44"/>
        </w:rPr>
      </w:pPr>
    </w:p>
    <w:p w:rsidR="00AA3DB5" w:rsidRPr="00AA3DB5" w:rsidRDefault="00AA3DB5" w:rsidP="00D34482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М.Ю. Дорошенко                </w:t>
      </w:r>
      <w:r>
        <w:rPr>
          <w:u w:val="single"/>
        </w:rPr>
        <w:tab/>
      </w:r>
      <w:r>
        <w:t xml:space="preserve">       Л.А. Иващенко</w:t>
      </w:r>
    </w:p>
    <w:p w:rsidR="00D34482" w:rsidRDefault="00D34482" w:rsidP="00D34482">
      <w:pPr>
        <w:tabs>
          <w:tab w:val="left" w:pos="2268"/>
          <w:tab w:val="left" w:pos="9921"/>
        </w:tabs>
        <w:ind w:firstLine="709"/>
      </w:pPr>
    </w:p>
    <w:p w:rsidR="00AA3DB5" w:rsidRPr="00AA3DB5" w:rsidRDefault="00AA3DB5" w:rsidP="00AA3DB5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93199C" w:rsidRDefault="0093199C" w:rsidP="0093199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93199C" w:rsidRPr="00BF4817" w:rsidRDefault="0093199C" w:rsidP="0093199C">
      <w:pPr>
        <w:tabs>
          <w:tab w:val="left" w:pos="2268"/>
          <w:tab w:val="left" w:pos="7088"/>
        </w:tabs>
        <w:ind w:firstLine="709"/>
      </w:pPr>
      <w:r>
        <w:rPr>
          <w:u w:val="single"/>
        </w:rPr>
        <w:tab/>
      </w:r>
      <w:r>
        <w:t xml:space="preserve">       С.С. Лукьянова                </w:t>
      </w: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</w:t>
      </w:r>
      <w:r w:rsidR="00F512DD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10170F"/>
    <w:rsid w:val="0010352D"/>
    <w:rsid w:val="00107678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C4815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1444A"/>
    <w:rsid w:val="00331920"/>
    <w:rsid w:val="0034779C"/>
    <w:rsid w:val="0035087A"/>
    <w:rsid w:val="00361933"/>
    <w:rsid w:val="003635F9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65E66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46B39"/>
    <w:rsid w:val="00860731"/>
    <w:rsid w:val="0086305E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A43B1"/>
    <w:rsid w:val="009B3B1A"/>
    <w:rsid w:val="009B4430"/>
    <w:rsid w:val="009F0CE6"/>
    <w:rsid w:val="00A05787"/>
    <w:rsid w:val="00A13B02"/>
    <w:rsid w:val="00A2481A"/>
    <w:rsid w:val="00A74C44"/>
    <w:rsid w:val="00A76608"/>
    <w:rsid w:val="00A965B1"/>
    <w:rsid w:val="00A968B9"/>
    <w:rsid w:val="00AA3DB5"/>
    <w:rsid w:val="00AC0270"/>
    <w:rsid w:val="00B00E3D"/>
    <w:rsid w:val="00B13CE9"/>
    <w:rsid w:val="00B155E7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2B68"/>
    <w:rsid w:val="00EB3D61"/>
    <w:rsid w:val="00EB5079"/>
    <w:rsid w:val="00EB5E8D"/>
    <w:rsid w:val="00EC2EF6"/>
    <w:rsid w:val="00ED27C1"/>
    <w:rsid w:val="00EF2838"/>
    <w:rsid w:val="00F27F86"/>
    <w:rsid w:val="00F4122D"/>
    <w:rsid w:val="00F512DD"/>
    <w:rsid w:val="00F779CA"/>
    <w:rsid w:val="00F952EC"/>
    <w:rsid w:val="00FB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D43E4-5211-4AA3-836F-A512F3295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122</cp:revision>
  <dcterms:created xsi:type="dcterms:W3CDTF">2010-10-11T04:35:00Z</dcterms:created>
  <dcterms:modified xsi:type="dcterms:W3CDTF">2011-10-08T05:55:00Z</dcterms:modified>
</cp:coreProperties>
</file>