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0B53B7" w:rsidRPr="00912474" w:rsidRDefault="000B53B7" w:rsidP="000B53B7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«Лучшая медицинская сестра первично</w:t>
      </w:r>
      <w:r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9060F8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9060F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060F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060F8" w:rsidP="00B11C12">
      <w:pPr>
        <w:tabs>
          <w:tab w:val="left" w:pos="1859"/>
          <w:tab w:val="center" w:pos="496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5" style="position:absolute;margin-left:-1.45pt;margin-top:14.55pt;width:85.4pt;height:111.35pt;z-index:-251655168" fillcolor="#d8d8d8 [2732]" strokecolor="#bfbfbf [2412]" strokeweight="4.5pt"/>
        </w:pict>
      </w:r>
      <w:r w:rsidR="00B11C12">
        <w:rPr>
          <w:sz w:val="28"/>
          <w:szCs w:val="28"/>
        </w:rPr>
        <w:tab/>
      </w:r>
      <w:r w:rsidR="00B11C12">
        <w:rPr>
          <w:sz w:val="28"/>
          <w:szCs w:val="28"/>
        </w:rPr>
        <w:tab/>
      </w:r>
    </w:p>
    <w:p w:rsidR="00EB3D61" w:rsidRPr="00EB3D61" w:rsidRDefault="00B2063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19685</wp:posOffset>
            </wp:positionV>
            <wp:extent cx="979805" cy="1339215"/>
            <wp:effectExtent l="19050" t="0" r="0" b="0"/>
            <wp:wrapNone/>
            <wp:docPr id="1" name="Рисунок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3. Жукова О.В.Ом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3. Жукова О.В.Ом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710C75">
        <w:t xml:space="preserve"> (полностью)</w:t>
      </w:r>
      <w:r w:rsidR="001E0745">
        <w:t xml:space="preserve">  </w:t>
      </w:r>
      <w:r w:rsidR="001E0745" w:rsidRPr="001E0745">
        <w:rPr>
          <w:u w:val="single"/>
        </w:rPr>
        <w:t>Жукова Оксана Викторовна</w:t>
      </w:r>
      <w:r w:rsidR="001E0745">
        <w:rPr>
          <w:u w:val="single"/>
        </w:rPr>
        <w:t>________________________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E0745">
        <w:t xml:space="preserve"> </w:t>
      </w:r>
      <w:r w:rsidR="001E0745" w:rsidRPr="001E0745">
        <w:rPr>
          <w:u w:val="single"/>
        </w:rPr>
        <w:t xml:space="preserve">Медицинская </w:t>
      </w:r>
      <w:r w:rsidR="001E0745">
        <w:rPr>
          <w:u w:val="single"/>
        </w:rPr>
        <w:t xml:space="preserve"> </w:t>
      </w:r>
      <w:r w:rsidR="001E0745" w:rsidRPr="001E0745">
        <w:rPr>
          <w:u w:val="single"/>
        </w:rPr>
        <w:t>сестра</w:t>
      </w:r>
      <w:r w:rsidR="001E0745">
        <w:rPr>
          <w:u w:val="single"/>
        </w:rPr>
        <w:t xml:space="preserve"> офтальмологического_______ кабинета_________________________________________________________</w:t>
      </w:r>
    </w:p>
    <w:p w:rsidR="007D7856" w:rsidRPr="001E0745" w:rsidRDefault="00385FDB" w:rsidP="001E0745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1E0745">
        <w:t xml:space="preserve"> </w:t>
      </w:r>
      <w:r w:rsidR="001E0745" w:rsidRPr="001E0745">
        <w:rPr>
          <w:u w:val="single"/>
        </w:rPr>
        <w:t xml:space="preserve">БУЗОО </w:t>
      </w:r>
      <w:r w:rsidR="001E0745">
        <w:rPr>
          <w:u w:val="single"/>
        </w:rPr>
        <w:t>«</w:t>
      </w:r>
      <w:r w:rsidR="001E0745" w:rsidRPr="001E0745">
        <w:rPr>
          <w:u w:val="single"/>
        </w:rPr>
        <w:t>Омская ЦРБ»</w:t>
      </w:r>
      <w:r w:rsidR="001E0745">
        <w:rPr>
          <w:u w:val="single"/>
        </w:rPr>
        <w:t xml:space="preserve"> </w:t>
      </w:r>
      <w:proofErr w:type="spellStart"/>
      <w:r w:rsidR="001E0745" w:rsidRPr="001E0745">
        <w:rPr>
          <w:u w:val="single"/>
        </w:rPr>
        <w:t>Лузинская</w:t>
      </w:r>
      <w:proofErr w:type="spellEnd"/>
      <w:r w:rsidR="001E0745">
        <w:rPr>
          <w:u w:val="single"/>
        </w:rPr>
        <w:t>____</w:t>
      </w:r>
      <w:r w:rsidR="001E0745" w:rsidRPr="001E0745">
        <w:rPr>
          <w:u w:val="single"/>
        </w:rPr>
        <w:t xml:space="preserve"> участковая больница</w:t>
      </w:r>
      <w:r w:rsidR="001E0745">
        <w:rPr>
          <w:u w:val="single"/>
        </w:rPr>
        <w:t>_______________________________________________</w:t>
      </w:r>
    </w:p>
    <w:p w:rsidR="00550D7A" w:rsidRDefault="001E0745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>_______________________________________________________________</w:t>
      </w:r>
      <w:r w:rsidR="00602100">
        <w:rPr>
          <w:u w:val="single"/>
        </w:rPr>
        <w:t xml:space="preserve"> </w:t>
      </w:r>
      <w:r>
        <w:rPr>
          <w:u w:val="single"/>
        </w:rPr>
        <w:t>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1E0745">
        <w:rPr>
          <w:u w:val="single"/>
        </w:rPr>
        <w:t xml:space="preserve"> № 13268 от 15.11.2004г._________________________________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896FB2" w:rsidTr="000852FE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0852FE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0852FE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33C8A" w:rsidRPr="009D15C5" w:rsidRDefault="00533C8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5666BF" w:rsidRPr="009D15C5" w:rsidTr="000852FE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533C8A" w:rsidRDefault="00533C8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0852FE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533C8A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0852FE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0852FE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533C8A" w:rsidRDefault="00533C8A" w:rsidP="007A789E">
            <w:pPr>
              <w:tabs>
                <w:tab w:val="left" w:pos="400"/>
                <w:tab w:val="left" w:pos="600"/>
              </w:tabs>
            </w:pPr>
          </w:p>
          <w:p w:rsidR="00533C8A" w:rsidRDefault="00533C8A" w:rsidP="007A789E">
            <w:pPr>
              <w:tabs>
                <w:tab w:val="left" w:pos="400"/>
                <w:tab w:val="left" w:pos="600"/>
              </w:tabs>
            </w:pPr>
          </w:p>
          <w:p w:rsidR="00533C8A" w:rsidRPr="009D15C5" w:rsidRDefault="00533C8A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611F83" w:rsidRPr="009D15C5" w:rsidTr="000852FE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Pr="009D15C5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332016" w:rsidRPr="009D15C5" w:rsidTr="000852FE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0852FE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533C8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0852FE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533C8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0852FE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0852FE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533C8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0852FE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533C8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533C8A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0852FE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533C8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01555B" w:rsidRPr="009D15C5" w:rsidTr="000852FE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533C8A" w:rsidRDefault="00533C8A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  <w:p w:rsidR="00533C8A" w:rsidRPr="009D15C5" w:rsidRDefault="00533C8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0852FE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0852FE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33C8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0852FE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33C8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0852FE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33C8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0852FE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33C8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0852FE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533C8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0852FE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0852FE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533C8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0852FE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383344" w:rsidRDefault="00383344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383344">
              <w:rPr>
                <w:b/>
                <w:lang w:eastAsia="en-US"/>
              </w:rPr>
              <w:t>58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80946"/>
    <w:rsid w:val="00080BDB"/>
    <w:rsid w:val="000852FE"/>
    <w:rsid w:val="000A05F5"/>
    <w:rsid w:val="000A2096"/>
    <w:rsid w:val="000A2C5B"/>
    <w:rsid w:val="000A4A6D"/>
    <w:rsid w:val="000A5992"/>
    <w:rsid w:val="000B53B7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C64E6"/>
    <w:rsid w:val="001D6430"/>
    <w:rsid w:val="001E0745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344"/>
    <w:rsid w:val="00383A33"/>
    <w:rsid w:val="00385FDB"/>
    <w:rsid w:val="00394BB9"/>
    <w:rsid w:val="003A3D67"/>
    <w:rsid w:val="003A65CF"/>
    <w:rsid w:val="003D3A9F"/>
    <w:rsid w:val="003F7AAF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33C8A"/>
    <w:rsid w:val="00550D7A"/>
    <w:rsid w:val="00551DC5"/>
    <w:rsid w:val="005666BF"/>
    <w:rsid w:val="005844F2"/>
    <w:rsid w:val="005846AB"/>
    <w:rsid w:val="0059547D"/>
    <w:rsid w:val="00597527"/>
    <w:rsid w:val="005C0EC0"/>
    <w:rsid w:val="005C1F81"/>
    <w:rsid w:val="005F380F"/>
    <w:rsid w:val="00602100"/>
    <w:rsid w:val="00611F83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25D1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1A83"/>
    <w:rsid w:val="008D686B"/>
    <w:rsid w:val="008F02FB"/>
    <w:rsid w:val="008F15FE"/>
    <w:rsid w:val="008F4793"/>
    <w:rsid w:val="008F75D3"/>
    <w:rsid w:val="0090350F"/>
    <w:rsid w:val="00903942"/>
    <w:rsid w:val="009060F8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4EE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E1AC7"/>
    <w:rsid w:val="00AF1371"/>
    <w:rsid w:val="00AF1C75"/>
    <w:rsid w:val="00B00E3D"/>
    <w:rsid w:val="00B066A2"/>
    <w:rsid w:val="00B11C12"/>
    <w:rsid w:val="00B13801"/>
    <w:rsid w:val="00B13CE9"/>
    <w:rsid w:val="00B16731"/>
    <w:rsid w:val="00B1720F"/>
    <w:rsid w:val="00B2063B"/>
    <w:rsid w:val="00B24DB1"/>
    <w:rsid w:val="00B71A8F"/>
    <w:rsid w:val="00B7312F"/>
    <w:rsid w:val="00B80154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37B91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7A2C-1F0C-43D9-82C3-C3605F8B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2013-12-19T15:00:00Z</cp:lastPrinted>
  <dcterms:created xsi:type="dcterms:W3CDTF">2010-10-11T04:35:00Z</dcterms:created>
  <dcterms:modified xsi:type="dcterms:W3CDTF">2014-08-29T11:55:00Z</dcterms:modified>
</cp:coreProperties>
</file>