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B518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6B518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518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D0BAC" w:rsidP="00EB3D61">
      <w:pPr>
        <w:jc w:val="center"/>
        <w:rPr>
          <w:sz w:val="28"/>
          <w:szCs w:val="28"/>
        </w:rPr>
      </w:pPr>
      <w:r w:rsidRPr="00CD0BA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128300</wp:posOffset>
            </wp:positionH>
            <wp:positionV relativeFrom="paragraph">
              <wp:posOffset>160434</wp:posOffset>
            </wp:positionV>
            <wp:extent cx="948512" cy="1297172"/>
            <wp:effectExtent l="19050" t="0" r="3988" b="0"/>
            <wp:wrapNone/>
            <wp:docPr id="7" name="Рисунок 1" descr="E:\Новая_папка\get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Новая_папка\getImage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512" cy="129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189" w:rsidRPr="006B5189">
        <w:rPr>
          <w:noProof/>
        </w:rPr>
        <w:pict>
          <v:rect id="_x0000_s1034" style="position:absolute;left:0;text-align:left;margin-left:5.35pt;margin-top:7.8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327674">
        <w:rPr>
          <w:u w:val="single"/>
        </w:rPr>
        <w:t xml:space="preserve"> Абрамова Наталья Александровна___________________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327674">
        <w:rPr>
          <w:u w:val="single"/>
        </w:rPr>
        <w:t xml:space="preserve"> Медицинская сестра участковая_________________</w:t>
      </w:r>
    </w:p>
    <w:p w:rsidR="007D7856" w:rsidRDefault="00385FDB" w:rsidP="00327674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327674">
        <w:rPr>
          <w:u w:val="single"/>
        </w:rPr>
        <w:t xml:space="preserve"> БУЗОО «Городская поликлиника____ №16»____________________________________________________________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327674">
        <w:rPr>
          <w:u w:val="single"/>
        </w:rPr>
        <w:t xml:space="preserve"> № 21912 от 03.11.2010г.__________________________________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F0EAF" w:rsidRPr="009D15C5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7F0EA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F0EAF" w:rsidRPr="009D15C5" w:rsidRDefault="007F0E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33</w:t>
            </w: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Pr="009D15C5" w:rsidRDefault="007F0EAF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F0EA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F0EA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F0EA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F0EA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F0EA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F0EAF" w:rsidRDefault="007F0EAF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7F0EAF" w:rsidRPr="009D15C5" w:rsidRDefault="007F0EA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F0EAF" w:rsidRDefault="007F0EA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F0EAF" w:rsidRDefault="007F0EA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F0EA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F0EAF" w:rsidRDefault="007F0EA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F0EAF" w:rsidRDefault="007F0EA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F0EAF" w:rsidRDefault="007F0EA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D81BE0" w:rsidRDefault="00D81BE0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D81BE0">
              <w:rPr>
                <w:b/>
                <w:lang w:eastAsia="en-US"/>
              </w:rPr>
              <w:t>164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327674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27674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B518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C3C1D"/>
    <w:rsid w:val="007D7856"/>
    <w:rsid w:val="007F0EAF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0C63"/>
    <w:rsid w:val="00BE1043"/>
    <w:rsid w:val="00BE7454"/>
    <w:rsid w:val="00BF4817"/>
    <w:rsid w:val="00BF724B"/>
    <w:rsid w:val="00C16607"/>
    <w:rsid w:val="00C16FE4"/>
    <w:rsid w:val="00C2719E"/>
    <w:rsid w:val="00C41967"/>
    <w:rsid w:val="00C439CF"/>
    <w:rsid w:val="00C72003"/>
    <w:rsid w:val="00CD0BAC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81BE0"/>
    <w:rsid w:val="00DC7D43"/>
    <w:rsid w:val="00DF21E6"/>
    <w:rsid w:val="00E05C8A"/>
    <w:rsid w:val="00E12C28"/>
    <w:rsid w:val="00E17408"/>
    <w:rsid w:val="00E377DB"/>
    <w:rsid w:val="00E438A6"/>
    <w:rsid w:val="00E44E66"/>
    <w:rsid w:val="00E62880"/>
    <w:rsid w:val="00E74478"/>
    <w:rsid w:val="00E76CFB"/>
    <w:rsid w:val="00E9566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42C9-8449-4032-AC56-D8349A9E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167</cp:revision>
  <cp:lastPrinted>2013-12-19T15:00:00Z</cp:lastPrinted>
  <dcterms:created xsi:type="dcterms:W3CDTF">2010-10-11T04:35:00Z</dcterms:created>
  <dcterms:modified xsi:type="dcterms:W3CDTF">2014-08-29T12:19:00Z</dcterms:modified>
</cp:coreProperties>
</file>